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управление портфелем бизнес-единиц</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управление портфелем бизнес-единиц»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«Современное управление портфелем бизнес- единиц».</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управление портфелем бизнес-единиц»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«Современное управление портфелем бизнес-единиц» относится к обязательной части, является дисциплиной Блока &lt;не удалось определить&gt;. «&lt;не удалось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определить&gt;».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портфеля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исследования  портфеля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управления портфелем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 управления портфелем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 управления портфелем.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портфелем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управления портфелем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управления портфелем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портфеля и пересмотр его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формирования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инвестиционного портфеля в условиях меняющейся бизнес-среды.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Мониторинг и ребалансировка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изменений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мониторинга изменений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Результативность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результативности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результативности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результатвиности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исследования  портфеля финансовых инструментов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и торговый портфель. Основные концепции управления портфелем. Современная портфельная теория (MPT). Диверсификация и размер портфеля. Модель оценки капитальных активов (CAPM). Многофакторные модели. Поведенческие финансы и управление портфелем.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портфелем как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исполнение и получение обратной связи. Динамика процесса управления портфелем.</w:t>
            </w:r>
          </w:p>
          <w:p>
            <w:pPr>
              <w:jc w:val="both"/>
              <w:spacing w:after="0" w:line="240" w:lineRule="auto"/>
              <w:rPr>
                <w:sz w:val="24"/>
                <w:szCs w:val="24"/>
              </w:rPr>
            </w:pPr>
            <w:r>
              <w:rPr>
                <w:rFonts w:ascii="Times New Roman" w:hAnsi="Times New Roman" w:cs="Times New Roman"/>
                <w:color w:val="#000000"/>
                <w:sz w:val="24"/>
                <w:szCs w:val="24"/>
              </w:rPr>
              <w:t> Планирование. Инвестиционные цели: риск и доходность. Инвестиционные ограничения: ликвидность, временной горизонт, налоговые вопросы, юридические и регуляторные факторы, уникальные обстоятельства.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инвестиционного портфеля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Оптимальное распределение капитала между финансовыми инструментами. Основные стратегии управления портфелем финансовых инструментов с фиксированной доходностью.</w:t>
            </w:r>
          </w:p>
          <w:p>
            <w:pPr>
              <w:jc w:val="both"/>
              <w:spacing w:after="0" w:line="240" w:lineRule="auto"/>
              <w:rPr>
                <w:sz w:val="24"/>
                <w:szCs w:val="24"/>
              </w:rPr>
            </w:pPr>
            <w:r>
              <w:rPr>
                <w:rFonts w:ascii="Times New Roman" w:hAnsi="Times New Roman" w:cs="Times New Roman"/>
                <w:color w:val="#000000"/>
                <w:sz w:val="24"/>
                <w:szCs w:val="24"/>
              </w:rPr>
              <w:t>  Микроструктура финансовых рынков. Рыночные и лимитированные заявки. Измерение трансакционных издержек.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инвестиционного портфеля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изменений в обстоятельствах и ограничениях инвестора.</w:t>
            </w:r>
          </w:p>
          <w:p>
            <w:pPr>
              <w:jc w:val="both"/>
              <w:spacing w:after="0" w:line="240" w:lineRule="auto"/>
              <w:rPr>
                <w:sz w:val="24"/>
                <w:szCs w:val="24"/>
              </w:rPr>
            </w:pPr>
            <w:r>
              <w:rPr>
                <w:rFonts w:ascii="Times New Roman" w:hAnsi="Times New Roman" w:cs="Times New Roman"/>
                <w:color w:val="#000000"/>
                <w:sz w:val="24"/>
                <w:szCs w:val="24"/>
              </w:rPr>
              <w:t> Мониторинг рыночных и экономических изменений.</w:t>
            </w:r>
          </w:p>
          <w:p>
            <w:pPr>
              <w:jc w:val="both"/>
              <w:spacing w:after="0" w:line="240" w:lineRule="auto"/>
              <w:rPr>
                <w:sz w:val="24"/>
                <w:szCs w:val="24"/>
              </w:rPr>
            </w:pPr>
            <w:r>
              <w:rPr>
                <w:rFonts w:ascii="Times New Roman" w:hAnsi="Times New Roman" w:cs="Times New Roman"/>
                <w:color w:val="#000000"/>
                <w:sz w:val="24"/>
                <w:szCs w:val="24"/>
              </w:rPr>
              <w:t> Мониторинг изменений в характеристиках классов активов и в текущей (справедливой) стоимости отдельных активов.</w:t>
            </w:r>
          </w:p>
          <w:p>
            <w:pPr>
              <w:jc w:val="both"/>
              <w:spacing w:after="0" w:line="240" w:lineRule="auto"/>
              <w:rPr>
                <w:sz w:val="24"/>
                <w:szCs w:val="24"/>
              </w:rPr>
            </w:pPr>
            <w:r>
              <w:rPr>
                <w:rFonts w:ascii="Times New Roman" w:hAnsi="Times New Roman" w:cs="Times New Roman"/>
                <w:color w:val="#000000"/>
                <w:sz w:val="24"/>
                <w:szCs w:val="24"/>
              </w:rPr>
              <w:t> Ребалансировка инвестиционного портфеля.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результативности портфеля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результативности портфеля: концепции доходности портфеля. Выбор ориентира (бенчмарка) доходности. Декомпозиция доходности портфеля. Оценка результативности портфеля: отделение удачи от навыка управляющего портфелем.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управления портфелем финансовых инструментов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Активное и пассивное управление портфелем.</w:t>
            </w:r>
          </w:p>
          <w:p>
            <w:pPr>
              <w:jc w:val="both"/>
              <w:spacing w:after="0" w:line="240" w:lineRule="auto"/>
              <w:rPr>
                <w:sz w:val="24"/>
                <w:szCs w:val="24"/>
              </w:rPr>
            </w:pPr>
            <w:r>
              <w:rPr>
                <w:rFonts w:ascii="Times New Roman" w:hAnsi="Times New Roman" w:cs="Times New Roman"/>
                <w:color w:val="#000000"/>
                <w:sz w:val="24"/>
                <w:szCs w:val="24"/>
              </w:rPr>
              <w:t> Остаточный риск и доходность.. Скорректированная на риск остаточная доходность. Фундаментальный этап 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управления портфелем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Шаг планирования: определение целей и ограничений инвестора.</w:t>
            </w:r>
          </w:p>
          <w:p>
            <w:pPr>
              <w:jc w:val="both"/>
              <w:spacing w:after="0" w:line="240" w:lineRule="auto"/>
              <w:rPr>
                <w:sz w:val="24"/>
                <w:szCs w:val="24"/>
              </w:rPr>
            </w:pPr>
            <w:r>
              <w:rPr>
                <w:rFonts w:ascii="Times New Roman" w:hAnsi="Times New Roman" w:cs="Times New Roman"/>
                <w:color w:val="#000000"/>
                <w:sz w:val="24"/>
                <w:szCs w:val="24"/>
              </w:rPr>
              <w:t> Шаг исполнения: формирование портфеля и пересмотр его структуры. Шаг получения обратной связи: мониторинг, ребалансировка и оценка результативности портфеля.</w:t>
            </w:r>
          </w:p>
          <w:p>
            <w:pPr>
              <w:jc w:val="both"/>
              <w:spacing w:after="0" w:line="240" w:lineRule="auto"/>
              <w:rPr>
                <w:sz w:val="24"/>
                <w:szCs w:val="24"/>
              </w:rPr>
            </w:pPr>
            <w:r>
              <w:rPr>
                <w:rFonts w:ascii="Times New Roman" w:hAnsi="Times New Roman" w:cs="Times New Roman"/>
                <w:color w:val="#000000"/>
                <w:sz w:val="24"/>
                <w:szCs w:val="24"/>
              </w:rPr>
              <w:t> Применение экономического анализа к управлению портфелем.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формирования инвестиционного портфеля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Пассивное и активное управление портфелем долевых ценных бумаг.</w:t>
            </w:r>
          </w:p>
          <w:p>
            <w:pPr>
              <w:jc w:val="both"/>
              <w:spacing w:after="0" w:line="240" w:lineRule="auto"/>
              <w:rPr>
                <w:sz w:val="24"/>
                <w:szCs w:val="24"/>
              </w:rPr>
            </w:pPr>
            <w:r>
              <w:rPr>
                <w:rFonts w:ascii="Times New Roman" w:hAnsi="Times New Roman" w:cs="Times New Roman"/>
                <w:color w:val="#000000"/>
                <w:sz w:val="24"/>
                <w:szCs w:val="24"/>
              </w:rPr>
              <w:t> Роль альтернативных инвестиций в управлении портфелем.</w:t>
            </w:r>
          </w:p>
          <w:p>
            <w:pPr>
              <w:jc w:val="both"/>
              <w:spacing w:after="0" w:line="240" w:lineRule="auto"/>
              <w:rPr>
                <w:sz w:val="24"/>
                <w:szCs w:val="24"/>
              </w:rPr>
            </w:pPr>
            <w:r>
              <w:rPr>
                <w:rFonts w:ascii="Times New Roman" w:hAnsi="Times New Roman" w:cs="Times New Roman"/>
                <w:color w:val="#000000"/>
                <w:sz w:val="24"/>
                <w:szCs w:val="24"/>
              </w:rPr>
              <w:t> Измерение трансакционных издержек. Эффективный бид-аск спрэд, дефицит исполнения и средневзвешенная по объему цена (VWAP).</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изменений инвестиционного портфеля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издержек и выгод от ребалансировки.</w:t>
            </w:r>
          </w:p>
          <w:p>
            <w:pPr>
              <w:jc w:val="both"/>
              <w:spacing w:after="0" w:line="240" w:lineRule="auto"/>
              <w:rPr>
                <w:sz w:val="24"/>
                <w:szCs w:val="24"/>
              </w:rPr>
            </w:pPr>
            <w:r>
              <w:rPr>
                <w:rFonts w:ascii="Times New Roman" w:hAnsi="Times New Roman" w:cs="Times New Roman"/>
                <w:color w:val="#000000"/>
                <w:sz w:val="24"/>
                <w:szCs w:val="24"/>
              </w:rPr>
              <w:t> Стратегии ребалансировки. Использование производных финансовых инструментов при ребалансировке портфеля.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результативности портфеля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результативности портфеля с точки зрения его риска и доходности: риск-факторы и компоненты доходности. Меры результативности портфеля с учетом риска: коэффициент Шарпа, RAROC, RoMAD, коэффициент Сортино и др. Глобальные стандарты инвестиционной результативности (GIPS).</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управление портфелем бизнес-единиц»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портфельного</w:t>
            </w:r>
            <w:r>
              <w:rPr/>
              <w:t xml:space="preserve"> </w:t>
            </w:r>
            <w:r>
              <w:rPr>
                <w:rFonts w:ascii="Times New Roman" w:hAnsi="Times New Roman" w:cs="Times New Roman"/>
                <w:color w:val="#000000"/>
                <w:sz w:val="24"/>
                <w:szCs w:val="24"/>
              </w:rPr>
              <w:t>инвестирования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Фрёммель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Ядрин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https://urait.ru/bcode/452191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https://urait.ru/bcode/455166</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35.9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2023-2024_ФГОС3++2023_Маг-ОФО-ФиК(УФиИ)(23)_plx_Современное управление портфелем бизнес-единиц</dc:title>
  <dc:creator>FastReport.NET</dc:creator>
</cp:coreProperties>
</file>